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B7D" w:rsidRPr="009A2B7D" w:rsidRDefault="009A2B7D" w:rsidP="009A2B7D">
      <w:pPr>
        <w:ind w:left="5760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9A2B7D" w:rsidRPr="009A2B7D" w:rsidRDefault="009A2B7D" w:rsidP="009A2B7D">
      <w:pPr>
        <w:ind w:left="5760"/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6C3096" w:rsidP="009A2B7D">
      <w:pPr>
        <w:spacing w:after="0"/>
        <w:ind w:left="5760" w:hanging="1507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C3096">
        <w:rPr>
          <w:rFonts w:ascii="Times New Roman" w:eastAsia="Calibri" w:hAnsi="Times New Roman" w:cs="Times New Roman"/>
          <w:b/>
          <w:sz w:val="24"/>
          <w:szCs w:val="24"/>
          <w:u w:val="single"/>
        </w:rPr>
        <w:t>Исх. № 01-08756/26и   от 14 сентября 2026 года</w:t>
      </w:r>
      <w:bookmarkStart w:id="0" w:name="_GoBack"/>
      <w:bookmarkEnd w:id="0"/>
    </w:p>
    <w:p w:rsidR="009A2B7D" w:rsidRPr="009A2B7D" w:rsidRDefault="009A2B7D" w:rsidP="009A2B7D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A2B7D" w:rsidRPr="009A2B7D" w:rsidRDefault="009A2B7D" w:rsidP="009A2B7D">
      <w:pPr>
        <w:spacing w:after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9A2B7D" w:rsidRPr="009A2B7D" w:rsidRDefault="009A2B7D" w:rsidP="009A2B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9A2B7D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Об уровнях загрязнения окружающей среды </w:t>
      </w:r>
    </w:p>
    <w:p w:rsidR="009A2B7D" w:rsidRPr="009A2B7D" w:rsidRDefault="009A2B7D" w:rsidP="009A2B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9A2B7D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и радиационной обстановке на территории </w:t>
      </w:r>
    </w:p>
    <w:p w:rsidR="009A2B7D" w:rsidRPr="009A2B7D" w:rsidRDefault="009A2B7D" w:rsidP="009A2B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0"/>
          <w:szCs w:val="20"/>
        </w:rPr>
      </w:pPr>
      <w:r w:rsidRPr="009A2B7D">
        <w:rPr>
          <w:rFonts w:ascii="Times New Roman" w:eastAsia="Times New Roman" w:hAnsi="Times New Roman" w:cs="Times New Roman"/>
          <w:bCs/>
          <w:kern w:val="32"/>
          <w:sz w:val="20"/>
          <w:szCs w:val="20"/>
        </w:rPr>
        <w:t xml:space="preserve">г. Москвы и Московской области в августе 2026 года </w:t>
      </w:r>
    </w:p>
    <w:p w:rsidR="009A2B7D" w:rsidRPr="009A2B7D" w:rsidRDefault="009A2B7D" w:rsidP="009A2B7D">
      <w:pPr>
        <w:spacing w:after="0" w:line="240" w:lineRule="auto"/>
        <w:rPr>
          <w:rFonts w:ascii="Times New Roman" w:eastAsia="Calibri" w:hAnsi="Times New Roman" w:cs="Times New Roman"/>
          <w:sz w:val="52"/>
          <w:szCs w:val="52"/>
        </w:rPr>
      </w:pPr>
    </w:p>
    <w:p w:rsidR="009A2B7D" w:rsidRPr="009A2B7D" w:rsidRDefault="009A2B7D" w:rsidP="009A2B7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Росгидромет сообщает о загрязнении атмосферного воздуха и водных объектов,      а также о радиационной обстановке на территории г. Москвы и Московской области         в августе 2026 года.</w:t>
      </w:r>
    </w:p>
    <w:p w:rsidR="009A2B7D" w:rsidRPr="009A2B7D" w:rsidRDefault="009A2B7D" w:rsidP="009A2B7D">
      <w:pPr>
        <w:tabs>
          <w:tab w:val="right" w:pos="9355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Атмосферный воздух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A2B7D" w:rsidRPr="009A2B7D" w:rsidRDefault="009A2B7D" w:rsidP="009A2B7D">
      <w:pPr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 Москва. </w:t>
      </w:r>
    </w:p>
    <w:p w:rsidR="009A2B7D" w:rsidRPr="009A2B7D" w:rsidRDefault="009A2B7D" w:rsidP="009A2B7D">
      <w:pPr>
        <w:suppressAutoHyphens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Calibri" w:hAnsi="Times New Roman" w:cs="Times New Roman"/>
          <w:b/>
          <w:sz w:val="24"/>
          <w:szCs w:val="24"/>
        </w:rPr>
        <w:t>Общая оценка</w:t>
      </w:r>
      <w:r w:rsidRPr="009A2B7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A2B7D">
        <w:rPr>
          <w:rFonts w:ascii="Times New Roman" w:eastAsia="Calibri" w:hAnsi="Times New Roman" w:cs="Times New Roman"/>
          <w:b/>
          <w:sz w:val="24"/>
          <w:szCs w:val="24"/>
        </w:rPr>
        <w:t>загрязнения атмосферы</w:t>
      </w:r>
      <w:r w:rsidRPr="009A2B7D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1"/>
      </w:r>
      <w:r w:rsidRPr="009A2B7D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9A2B7D">
        <w:rPr>
          <w:rFonts w:ascii="Times New Roman" w:eastAsia="Calibri" w:hAnsi="Times New Roman" w:cs="Times New Roman"/>
          <w:sz w:val="24"/>
          <w:szCs w:val="24"/>
        </w:rPr>
        <w:t>В августе, по данным государственной наблюдательной сети (приложение 1), в целом по городу был отмечен повышенный уровень загрязнения атмосферного воздуха (СИ=1,7; НП=5,6%).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Calibri" w:hAnsi="Times New Roman" w:cs="Times New Roman"/>
          <w:b/>
          <w:sz w:val="24"/>
          <w:szCs w:val="24"/>
        </w:rPr>
        <w:t>Характеристика загрязнения атмосферы.</w:t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A2B7D" w:rsidRPr="009A2B7D" w:rsidRDefault="009A2B7D" w:rsidP="009A2B7D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Повышенный уровень загрязнения атмосферного воздуха определяли концентрации формальдегида (СИ=1,7; НП=5,6%) и диоксида азота (СИ=1,1; НП=1,2%). Максимальные разовые концентрации достигли: формальдегида - 1,7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07 августа в Дмитровском районе Северного административного округа г. Москвы, диоксида азота </w:t>
      </w:r>
      <w:r w:rsidRPr="009A2B7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– 1,1 </w:t>
      </w:r>
      <w:proofErr w:type="spellStart"/>
      <w:r w:rsidRPr="009A2B7D">
        <w:rPr>
          <w:rFonts w:ascii="Times New Roman" w:eastAsia="Times New Roman" w:hAnsi="Times New Roman" w:cs="Times New Roman"/>
          <w:sz w:val="23"/>
          <w:szCs w:val="23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августа в Мещанском районе Центрального административного округа       г. Москвы.</w:t>
      </w:r>
    </w:p>
    <w:p w:rsidR="009A2B7D" w:rsidRPr="009A2B7D" w:rsidRDefault="009A2B7D" w:rsidP="009A2B7D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Содержание взвешенных веществ, оксида азота, оксида углерода, фенола, хлорида водорода, аммиака, сероводорода, бензола, ксилола, толуола и этилбензола в целом          по городу не превысило установленных гигиенических нормативов, содержание диоксида серы было ниже предела обнаружения.</w:t>
      </w:r>
    </w:p>
    <w:p w:rsidR="009A2B7D" w:rsidRPr="009A2B7D" w:rsidRDefault="009A2B7D" w:rsidP="009A2B7D">
      <w:pPr>
        <w:tabs>
          <w:tab w:val="left" w:pos="1843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Среднемесячная концентрация формальдегида составила 1,1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среднемесячные концентрации остальных определяемых загрязняющих веществ               не превысили 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A2B7D" w:rsidRPr="009A2B7D" w:rsidRDefault="009A2B7D" w:rsidP="009A2B7D">
      <w:pPr>
        <w:tabs>
          <w:tab w:val="left" w:pos="184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 значения среднесуточных концентраций диоксида азота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находились на уровне 0,3–0,5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9A2B7D" w:rsidRPr="009A2B7D" w:rsidRDefault="009A2B7D" w:rsidP="009A2B7D">
      <w:pPr>
        <w:tabs>
          <w:tab w:val="left" w:pos="1843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среднесуточных концентраций диоксида азота по сравнению                    с предыдущим месяцем представлены на рисунке 1. </w:t>
      </w:r>
    </w:p>
    <w:p w:rsidR="009A2B7D" w:rsidRPr="009A2B7D" w:rsidRDefault="009A2B7D" w:rsidP="009A2B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object w:dxaOrig="9240" w:dyaOrig="3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95pt;height:163pt" o:ole="">
            <v:imagedata r:id="rId7" o:title=""/>
          </v:shape>
          <o:OLEObject Type="Embed" ProgID="MSGraph.Chart.8" ShapeID="_x0000_i1025" DrawAspect="Content" ObjectID="_1850911731" r:id="rId8">
            <o:FieldCodes>\s</o:FieldCodes>
          </o:OLEObject>
        </w:object>
      </w:r>
      <w:r w:rsidRPr="009A2B7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</w:t>
      </w:r>
      <w:r w:rsidRPr="009A2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исунок 1.</w:t>
      </w:r>
      <w:r w:rsidRPr="009A2B7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Pr="009A2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Среднесуточные концентрации диоксида азота в июле и августе 2026 г.</w:t>
      </w:r>
    </w:p>
    <w:p w:rsidR="009A2B7D" w:rsidRPr="009A2B7D" w:rsidRDefault="009A2B7D" w:rsidP="009A2B7D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(по данным государственной наблюдательной сети в г. Москве)</w:t>
      </w:r>
    </w:p>
    <w:p w:rsidR="009A2B7D" w:rsidRPr="009A2B7D" w:rsidRDefault="009A2B7D" w:rsidP="009A2B7D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предыдущим месяцем и августом 2025 г. уровень загрязнения </w:t>
      </w:r>
      <w:bookmarkStart w:id="1" w:name="_Hlk198143625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атмосферного воздуха</w:t>
      </w:r>
      <w:bookmarkEnd w:id="1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изменился.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Города Московской области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216192948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государственной наблюдательной сети, в городах Воскресенске, Дзержинском, Клину, Коломне, Мытищах, Подольске, Щелкове и Электростали уровень загрязнения атмосферного воздуха был низким (СИ≤1,0; НП=0%).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Среднемесячная концентрация формальдегида составила: в Мытищах –                  1,3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Коломне – 1,1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в Подольске – 1,0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ПДКс.с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остальных городах, где проводятся наблюдения за загрязнением атмосферного воздуха на пунктах государственной наблюдательной сети, </w:t>
      </w:r>
      <w:bookmarkStart w:id="3" w:name="_Hlk237875316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среднемесячные концентрации определяемых загрязняющих веществ не превысили установленных гигиенических нормативов.  </w:t>
      </w:r>
      <w:proofErr w:type="gramEnd"/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26387914"/>
      <w:bookmarkEnd w:id="2"/>
      <w:bookmarkEnd w:id="3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сравнению с предыдущим месяцем и августом 2025 г. уровень загрязнения атмосферного воздуха в городах Воскресенске, Дзержинском, Клину, Коломне, Мытищах, Подольске, Щелкове и Электростали</w:t>
      </w:r>
      <w:r w:rsidRPr="009A2B7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изменился.  </w:t>
      </w:r>
    </w:p>
    <w:bookmarkEnd w:id="4"/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городах Волоколамск, Дмитров, Домодедово, Егорьевск, Котельники,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-Петровский, Ногинск, Орехово-Зуево, Пушкино, Раменское, Сергиев Посад, Серпухов, Ступино, Солнечногорск и Шатура проводятся измерения концентраций загрязняющих веществ на 15 автоматизированных стационарных пунктах территориальной системы наблюдений Московской области, эксплуатируемых ГКУ МО  «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Мособлэкомониторинг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proofErr w:type="gramEnd"/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пунктов государственной системы наблюдений, уровень загрязнения атмосферного воздуха в г. Серпухове был повышенным (СИ=2,9; НП=0,8%)                        и определялся концентрациями сероводорода. Максимальная разовая концентрация сероводорода достигла 2,9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ночные часы 4 августа на автоматизированном стационарном пункте территориальной системы наблюдений, расположенном по адресу Большой 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Ударный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пер., д. 1. Среднемесячные концентрации определяемых загрязняющих веществ не превысили установленных гигиенических нормативов. 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сравнению с предыдущим месяцем уровень загрязнения атмосферного воздуха в г. Серпухове не изменился. Сравнительная оценка с августом 2025 г. не проводилась       в связи с введением в эксплуатацию автоматизированного стационарного пункта территориальной системы наблюдений в 2026 г.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автоматизированных стационарных пунктов территориальной системы наблюдений, повышенный уровень загрязнения атмосферного воздуха был отмечен            в городах Ногинске (СИ=2,6; НП=0,5%), Раменском (СИ=2,1; НП=0,4%), Сергиевом Посаде (СИ=1,8; НП=0,5%) и определялся концентрациями сероводорода. Максимальные разовые концентрации сероводорода были зарегистрированы: в ночные часы 31 августа -   в Ногинске (2,6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в утренние часы 10 августа - в Раменском (2,1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             и в утренние часы 29 августа - в Сергиевом Посаде (1,8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.). 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городах Волоколамск, Дмитров, Егорьевск, Котельники,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-Петровский, Орехово-Зуево, Пушкино, Солнечногорск, Ступино и Шатура уровень загрязнения атмосферного воздуха был низким (СИ=0,3-1,1; НП=0,0-0,2%). Максимальные разовые концентрации оксида азота достигли 1,1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 городах Котельники и Орехово-Зуево, сероводорода - 1,0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ПДКм.р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Солнечногорске.                  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Домодедове уровень загрязнения атмосферного воздуха не определен в связи       с ежегодной поверкой  оборудования.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Среднемесячные концентрации определяемых загрязняющих веществ на пунктах территориальной системы наблюдений не превысили установленных гигиенических нормативов. </w:t>
      </w:r>
    </w:p>
    <w:p w:rsidR="009A2B7D" w:rsidRPr="009A2B7D" w:rsidRDefault="009A2B7D" w:rsidP="009A2B7D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предыдущим месяцем уровень загрязнения атмосферного воздуха изменился от низкого до повышенного в Сергиевом Посаде (рост концентраций сероводорода), сохранился повышенным в Ногинске и Раменском, сохранился низким       в городах Волоколамск, Дмитров, Котельники,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-Петровский, Орехово-Зуево, Пушкино, Солнечногорск, Ступино и Шатура.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Егорьевске и Домодедове сравнительная оценка уровня загрязнения атмосферного воздуха  не  проводилась в связи с поверкой оборудования в июле.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августом 2025 года уровень загрязнения атмосферного воздуха изменился от низкого до повышенного в Сергиевом Посаде (рост концентраций сероводорода), сохранился </w:t>
      </w:r>
      <w:r w:rsidRPr="009A2B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низким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городах Волоколамск, Дмитров, Егорьевск, Котельники,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Лосино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-Петровский, Орехово-Зуево, Пушкино, Солнечногорск и Шатура.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городах Домодедово, Ногинск, Раменское и Ступино сравнительная оценка уровня загрязнения атмосферного воздуха не проводилась. </w:t>
      </w:r>
    </w:p>
    <w:p w:rsidR="009A2B7D" w:rsidRPr="009A2B7D" w:rsidRDefault="009A2B7D" w:rsidP="009A2B7D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108631533"/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выполненных в период с 11 по 27 августа 2026 г. дополнительных наблюдений за загрязнением атмосферного воздуха </w:t>
      </w:r>
      <w:bookmarkEnd w:id="5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Электросталь  (Ногинское шоссе, 2 и б-р 60-летия  Победы, д. 14); </w:t>
      </w:r>
      <w:proofErr w:type="spellStart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</w:t>
      </w:r>
      <w:proofErr w:type="spell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Серпухов (д. Пущино, 2-я Пролетарская, 59а                и г. Серпухов, ул. Новая, 15а); г. Мытищи (</w:t>
      </w:r>
      <w:proofErr w:type="spellStart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мкр</w:t>
      </w:r>
      <w:proofErr w:type="spell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Пироговский</w:t>
      </w:r>
      <w:proofErr w:type="spell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Фабричная, 17;              ул. Индустриальная, д. 3, корп.3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 7, корп. 3); г. Воскресенск (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 Лопатинский,        ул.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Андреса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58 и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-н Фетровой фабрики, ул. Быковского, 36);</w:t>
      </w:r>
      <w:proofErr w:type="gram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Щелково                    (ул. Центральная, 73А и ул. Комсомольская, 20) и г. Видное (</w:t>
      </w:r>
      <w:proofErr w:type="gramStart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Проектируемый</w:t>
      </w:r>
      <w:proofErr w:type="gram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9A2B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 5208     и ул. 8-я Линия, 10Б), показали, что к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онцентрации определяемых загрязняющих веществ во всех точках отбора не превысили установленных гигиенических нормативов.</w:t>
      </w:r>
    </w:p>
    <w:p w:rsidR="009A2B7D" w:rsidRPr="009A2B7D" w:rsidRDefault="009A2B7D" w:rsidP="009A2B7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2B7D" w:rsidRPr="009A2B7D" w:rsidRDefault="009A2B7D" w:rsidP="009A2B7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A2B7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Водные объекты.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>По данным сети наблюдений за загрязнением поверхностных вод суши (приложение 2), в августе на водных объектах Московской области наблюдался режим летней межени, сопровождавшийся колебаниями уровней воды, вызванными локальными осадками.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>Температура воды в водных объектах региона колебалась в пределах от 14,6</w:t>
      </w:r>
      <w:proofErr w:type="gramStart"/>
      <w:r w:rsidRPr="009A2B7D">
        <w:rPr>
          <w:rFonts w:ascii="Times New Roman" w:eastAsia="Calibri" w:hAnsi="Times New Roman" w:cs="Times New Roman"/>
          <w:sz w:val="24"/>
          <w:szCs w:val="24"/>
        </w:rPr>
        <w:t>°С</w:t>
      </w:r>
      <w:proofErr w:type="gram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                (р.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Воря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выше г. Красноармейска) до 23,0°С (р. Осетр в черте п.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Городна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 xml:space="preserve">Реакция водной среды по водородному показателю рН в целом была в пределах нормы: среднее значение составляло рН=7,58 (при норме рН=6,5-8,5). Минимальное </w:t>
      </w:r>
      <w:r w:rsidRPr="009A2B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значение водородного показателя (рН=6,00) наблюдалось в воде реки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Клязьмы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выше          г. Орехова-Зуева, а максимальное (рН=8,09) – в воде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Иваньковского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водохранилища           у г. Дубны.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Кислородный режим водных объектов региона в целом был удовлетворительным. Содержание растворенного в воде кислорода составляло в среднем 6,93 мг/л (при норме         не ниже 6,0 мг/л). Минимальное содержание растворенного в воде кислорода (3,13 мг/л) было зарегистрировано в воде реки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Воймеги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г. Рошаля, а максимальное</w:t>
      </w:r>
      <w:r w:rsidRPr="009A2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11,2 мг/л) – в воде реки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Клязьмы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ниже г. Орехова-Зуева.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Концентрация взвешенных веществ в воде водных объектов составляла в среднем                                                                                       14,5г/л. Максимальное содержание взвешенных веществ, достигавшее 69,7 мг/л, было зарегистрировано в воде реки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Нерской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г. Куровское, а минимальное (2,3 мг/л) –        в воде реки Пахры выше г. Подольска.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Содержание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9A2B7D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в среднем не превышало 2 ПДК</w:t>
      </w:r>
      <w:r w:rsidRPr="009A2B7D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2"/>
      </w:r>
      <w:r w:rsidRPr="009A2B7D">
        <w:rPr>
          <w:rFonts w:ascii="Times New Roman" w:eastAsia="Calibri" w:hAnsi="Times New Roman" w:cs="Times New Roman"/>
          <w:sz w:val="24"/>
          <w:szCs w:val="24"/>
        </w:rPr>
        <w:t>.</w:t>
      </w:r>
      <w:r w:rsidRPr="009A2B7D">
        <w:rPr>
          <w:rFonts w:ascii="Calibri" w:eastAsia="Calibri" w:hAnsi="Calibri" w:cs="Times New Roman"/>
        </w:rPr>
        <w:t xml:space="preserve"> </w:t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Максимальное содержание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9A2B7D">
        <w:rPr>
          <w:rFonts w:ascii="Times New Roman" w:eastAsia="Calibri" w:hAnsi="Times New Roman" w:cs="Times New Roman"/>
          <w:sz w:val="24"/>
          <w:szCs w:val="24"/>
          <w:vertAlign w:val="subscript"/>
        </w:rPr>
        <w:t xml:space="preserve">5 </w:t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(9 ПДК, уровень высокого загрязнения /ВЗ/) было зарегистрировано в воде реки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Рожаи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в черте деревни Домодедово,    а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(16 ПДК, также уровень ВЗ) – в воде реки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Воймеги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выше г. Рошаля.</w:t>
      </w:r>
      <w:proofErr w:type="gram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Минимальное содержание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легкоокисляемых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БПК</w:t>
      </w:r>
      <w:r w:rsidRPr="009A2B7D">
        <w:rPr>
          <w:rFonts w:ascii="Times New Roman" w:eastAsia="Calibri" w:hAnsi="Times New Roman" w:cs="Times New Roman"/>
          <w:sz w:val="24"/>
          <w:szCs w:val="24"/>
          <w:vertAlign w:val="subscript"/>
        </w:rPr>
        <w:t>5</w:t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(менее норматива ПДК) было зарегистрировано в воде рек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Протвы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(выше п. Вербилки) и Москвы (выше г. Звенигорода), а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трудноокисляемых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органических веществ по ХПК (также менее норматива ПДК) – в воде реки </w:t>
      </w:r>
      <w:proofErr w:type="gramStart"/>
      <w:r w:rsidRPr="009A2B7D">
        <w:rPr>
          <w:rFonts w:ascii="Times New Roman" w:eastAsia="Calibri" w:hAnsi="Times New Roman" w:cs="Times New Roman"/>
          <w:sz w:val="24"/>
          <w:szCs w:val="24"/>
        </w:rPr>
        <w:t>Кунья</w:t>
      </w:r>
      <w:proofErr w:type="gram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у г. Краснозаводска.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 xml:space="preserve">Средняя концентрация нитратного азота не превышала нормативов ПДК, аммонийного азота – 2 ПДК, нитритного азота - 7 ПДК. Максимальное содержание нитритного азота (37 ПДК, уровень ВЗ) было зарегистрировано в воде реки Москвы            в черте г. Москвы (в районе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Бесединского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моста МКАД), аммонийного азота (14 ПДК, уровень ВЗ) – в воде реки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Воймеги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ниже г. Рошаля. Минимальное содержание аммонийного азота (менее ПДК) было отмечено в воде реки </w:t>
      </w:r>
      <w:proofErr w:type="gramStart"/>
      <w:r w:rsidRPr="009A2B7D">
        <w:rPr>
          <w:rFonts w:ascii="Times New Roman" w:eastAsia="Calibri" w:hAnsi="Times New Roman" w:cs="Times New Roman"/>
          <w:sz w:val="24"/>
          <w:szCs w:val="24"/>
        </w:rPr>
        <w:t>Кунья</w:t>
      </w:r>
      <w:proofErr w:type="gram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 ниже                              г. Краснозаводска, а нитритного азота (также меньше ПДК) – в воде реки Осетр в черте поселка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Городна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>Содержание тяжелых металлов в воде водных объектов региона в целом было невысоким: концентрац</w:t>
      </w:r>
      <w:proofErr w:type="gramStart"/>
      <w:r w:rsidRPr="009A2B7D">
        <w:rPr>
          <w:rFonts w:ascii="Times New Roman" w:eastAsia="Calibri" w:hAnsi="Times New Roman" w:cs="Times New Roman"/>
          <w:sz w:val="24"/>
          <w:szCs w:val="24"/>
        </w:rPr>
        <w:t>ии ио</w:t>
      </w:r>
      <w:proofErr w:type="gram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нов хрома шестивалентного, свинца, никеля и цинка               в среднем не превышали нормативов ПДК, ионов меди – 2 ПДК. Максимальное </w:t>
      </w:r>
      <w:r w:rsidRPr="009A2B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содержание ионов меди (5 ПДК) было зарегистрировано в воде реки Яузы в черте              г. Москвы, ионов цинка (3 ПДК) – в воде реки Москвы у поселка </w:t>
      </w:r>
      <w:proofErr w:type="spellStart"/>
      <w:r w:rsidRPr="009A2B7D">
        <w:rPr>
          <w:rFonts w:ascii="Times New Roman" w:eastAsia="Calibri" w:hAnsi="Times New Roman" w:cs="Times New Roman"/>
          <w:sz w:val="24"/>
          <w:szCs w:val="24"/>
        </w:rPr>
        <w:t>Ильинское</w:t>
      </w:r>
      <w:proofErr w:type="spellEnd"/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>Содержание формальдегида, фенолов</w:t>
      </w:r>
      <w:r w:rsidRPr="009A2B7D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erence w:id="3"/>
      </w: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, нефтепродуктов и синтетических поверхностно-активных веществ (СПАВ) в среднем не превышало нормативов ПДК. Максимальное содержание нефтепродуктов (3 ПДК) было отмечено в воде реки Яузы         в черте г. Москвы. 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  <w:t xml:space="preserve">В августе 2026 года на водных объектах региона был зарегистрирован                                                                                                                                                                         21 случай ВЗ (таблица 1), случаев экстремально высокого загрязнения (ЭВЗ) зарегистрировано не было. Для сравнения: в августе 2025 года было зарегистрировано                7 случаев ВЗ, а случаев ЭВЗ зарегистрировано также не было. </w:t>
      </w:r>
    </w:p>
    <w:p w:rsidR="009A2B7D" w:rsidRPr="009A2B7D" w:rsidRDefault="009A2B7D" w:rsidP="009A2B7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сравнению с августом 2025 года в отчетный период в воде водных объектов Московского региона понизилось содержание взвешенных веществ и повысилось содержание нитритного азота. По остальным наблюдаемым показателям качества воды существенных изменений не было отмечено.  </w:t>
      </w:r>
    </w:p>
    <w:p w:rsidR="009A2B7D" w:rsidRPr="009A2B7D" w:rsidRDefault="009A2B7D" w:rsidP="009A2B7D">
      <w:pPr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Таблица 1</w:t>
      </w:r>
    </w:p>
    <w:p w:rsidR="009A2B7D" w:rsidRPr="009A2B7D" w:rsidRDefault="009A2B7D" w:rsidP="009A2B7D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Случаи ВЗ, зарегистрированные на водных объектах </w:t>
      </w:r>
    </w:p>
    <w:p w:rsidR="009A2B7D" w:rsidRPr="009A2B7D" w:rsidRDefault="009A2B7D" w:rsidP="009A2B7D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региона в августе 2026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1701"/>
        <w:gridCol w:w="2410"/>
        <w:gridCol w:w="2268"/>
      </w:tblGrid>
      <w:tr w:rsidR="009A2B7D" w:rsidRPr="009A2B7D" w:rsidTr="00503213">
        <w:trPr>
          <w:trHeight w:val="57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Ингредиент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Концентраци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ПДК)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створ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отбора пробы</w:t>
            </w:r>
          </w:p>
        </w:tc>
      </w:tr>
      <w:tr w:rsidR="009A2B7D" w:rsidRPr="009A2B7D" w:rsidTr="00503213">
        <w:trPr>
          <w:trHeight w:val="8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Легкоокисляемые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БПК</w:t>
            </w: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ожая в черте деревни Домодедово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Трудноокисляемые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органические вещества по ХПК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выше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  <w:tr w:rsidR="009A2B7D" w:rsidRPr="009A2B7D" w:rsidTr="00503213">
        <w:trPr>
          <w:trHeight w:val="27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нитритный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37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 черте г. Москвы, в районе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Бесединского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моста МКАД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же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ожая в черте деревни Домодедово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 черте г. Москвы, в районе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Бесединского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моста МКАД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Нерская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черте деревни 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Маришкино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ниже   г. Воскресенска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 черте г. Коломны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выше г. Воскресенска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Пахра ниже     г. Подольска, ниже места впадения         р.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Битцы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Пахра ниже      г. Подольска, ниже места впадения ручья Черного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Закза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черте деревни 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Большое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Сареево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Пахра в черте деревни Нижнее Мячково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Москва в черте г. Москвы, в районе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Бесединского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моста МКАД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ײ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      г. Красноармейска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ײ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Клязьма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Лосино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-Петров-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аммонийный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ниже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  <w:tr w:rsidR="009A2B7D" w:rsidRPr="009A2B7D" w:rsidTr="00503213">
        <w:trPr>
          <w:trHeight w:val="54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же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Река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Воймега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выше г. Рошаля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18.08.2026</w:t>
            </w:r>
          </w:p>
        </w:tc>
      </w:tr>
    </w:tbl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мониторинга качества воды в реке Москве в июле 2026 года были проанализированы осредненные данные по содержанию ряда загрязняющих веществ (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легкоокисляемые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органические вещества по БПК</w:t>
      </w:r>
      <w:r w:rsidRPr="009A2B7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5,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нефтепродукты,</w:t>
      </w:r>
      <w:r w:rsidRPr="009A2B7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фенолы и ионы меди)         в речной воде на расположенном в границах города участке реки от фонового створа (поселок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Ильинское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контрольного створа (в районе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Бабьегородской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плотины)               до замыкающего створа (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Бесединский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 МКАД).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анализа выявили четкую закономерность в изменении качества речной воды по содержанию вышеуказанных 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загрязняющих веществ (рисунок 2): содержание в речной воде ионов меди в фоновом створе было менее ПДК, а к замыкающему створу повышалось до 2 ПДК; содержание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легкоокисляемых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органических веществ по БПК</w:t>
      </w:r>
      <w:r w:rsidRPr="009A2B7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5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фоновом створе было менее ПДК,         а к замыкающему повышалось до 3 ПДК;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 нефтепродуктов по всем створам     не превышало норматива ПДК; содержание фенолов по всем створам было менее ПДК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9A2B7D" w:rsidRPr="009A2B7D" w:rsidRDefault="009A2B7D" w:rsidP="009A2B7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A2B7D" w:rsidRPr="009A2B7D" w:rsidRDefault="009A2B7D" w:rsidP="009A2B7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2B7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5520680F" wp14:editId="5744E196">
            <wp:extent cx="5655310" cy="3144520"/>
            <wp:effectExtent l="0" t="0" r="21590" b="1778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A2B7D" w:rsidRPr="009A2B7D" w:rsidRDefault="009A2B7D" w:rsidP="009A2B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overflowPunct w:val="0"/>
        <w:autoSpaceDE w:val="0"/>
        <w:autoSpaceDN w:val="0"/>
        <w:adjustRightInd w:val="0"/>
        <w:spacing w:before="240"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0"/>
          <w:szCs w:val="20"/>
          <w:lang w:eastAsia="ru-RU"/>
        </w:rPr>
        <w:t>Рисунок 2. Динамика содержания загрязняющих веществ в р. Москве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A2B7D">
        <w:rPr>
          <w:rFonts w:ascii="Times New Roman" w:eastAsia="Calibri" w:hAnsi="Times New Roman" w:cs="Times New Roman"/>
          <w:sz w:val="20"/>
          <w:szCs w:val="20"/>
        </w:rPr>
        <w:t>в черте г. Москвы в августе 2026 года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56"/>
          <w:szCs w:val="56"/>
        </w:rPr>
      </w:pP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Calibri" w:hAnsi="Times New Roman" w:cs="Times New Roman"/>
          <w:b/>
          <w:sz w:val="24"/>
          <w:szCs w:val="24"/>
        </w:rPr>
        <w:t xml:space="preserve">Радиационная обстановка 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августе 2026 года на территории Москвы                     и Московской области оставалась стабильной. Значения плотности радиоактивных выпадений из атмосферы и мощности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амбиентного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эквивалента дозы гамма-излучения (МАЭД) были близки 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к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фоновым.</w:t>
      </w:r>
    </w:p>
    <w:p w:rsidR="009A2B7D" w:rsidRPr="009A2B7D" w:rsidRDefault="009A2B7D" w:rsidP="009A2B7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Средние значения концентрации радиоактивных аэрозолей в воздухе, по данным метеостанций (МС) Подмосковная и Тушино, составляли 11,7х10</w:t>
      </w:r>
      <w:r w:rsidRPr="009A2B7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-5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10,3х10</w:t>
      </w:r>
      <w:r w:rsidRPr="009A2B7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-5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Бк/м</w:t>
      </w:r>
      <w:r w:rsidRPr="009A2B7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3 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соответственно.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Плотность среднесуточных выпадений суммарной бета-активности, по данным МС, расположенных в районе Балчуга, </w:t>
      </w:r>
      <w:r w:rsidRPr="009A2B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Выставки достижений народного хозяйства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(ВДНХ), Ново-Иерусалима и Тушина, а также МС Подмосковной, составляла от 0,6          до 0,8 Бк/м</w:t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>2</w:t>
      </w:r>
      <w:proofErr w:type="gramEnd"/>
      <w:r w:rsidRPr="009A2B7D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ru-RU"/>
        </w:rPr>
        <w:t xml:space="preserve"> </w:t>
      </w: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в сутки.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ab/>
      </w:r>
      <w:proofErr w:type="gramStart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Средние значения МАЭД, по данным МС ВДНХ, Балчуг, Тушино,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Немчиновка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Подмосковная, Клин, Дмитров, Волоколамск, Можайск, Ново-Иерусалим, Павловский Посад, Черусти, Наро-Фоминск, Серпухов, Коломна, Кашира, Электросталь, а также станции фонового мониторинга (Приокско-Террасный заповедник, ст. Данки), составляли от 0,10 до 0,15 </w:t>
      </w:r>
      <w:proofErr w:type="spellStart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мкЗв</w:t>
      </w:r>
      <w:proofErr w:type="spellEnd"/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/ч.</w:t>
      </w:r>
      <w:proofErr w:type="gramEnd"/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Отмеченные уровни концентрации радиоактивных веществ в воздухе, плотности радиоактивных выпадений из атмосферы, а также значения МАЭД находились в пределах колебаний естественного фона, характерного для средних широт Европейской территории России.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Приложение: на 8 л. </w:t>
      </w: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Росгидромета</w:t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И.А. Шумаков</w:t>
      </w: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Приложение 1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Схема г. Москвы с расположением пунктов государственной наблюдательной сети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sz w:val="24"/>
          <w:szCs w:val="20"/>
          <w:lang w:eastAsia="ru-RU"/>
        </w:rPr>
        <w:t>за загрязнением атмосферного воздуха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A2B7D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088F250B" wp14:editId="768CB989">
            <wp:extent cx="5931535" cy="7593330"/>
            <wp:effectExtent l="0" t="0" r="0" b="7620"/>
            <wp:docPr id="2" name="Рисунок 2" descr="Карта ПНЗ Москва округа 202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а ПНЗ Москва округа 2025 (1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1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276"/>
        <w:gridCol w:w="3260"/>
        <w:gridCol w:w="3664"/>
      </w:tblGrid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пункта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Округ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Тип пункта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Адрес пункта наблюдений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Район расположения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ВДНХ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«Останкинский»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Ср.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Овчинниковский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 пер., 1/13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«Замоскворечье»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ЦАО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Б.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Сухаревский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пер., 21-23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«Мещанский» (Садовое кольцо)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ул. Бутырская, 89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«Савеловский»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.,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Варшавское шоссе, 32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«Нагорный»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4-й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Вешняковский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 проезд, 8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р-н «Рязанский» 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ул. Полярная, 10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«Южное Медведково»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ул. Шоссейная, 36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«Печатники»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ул. Народного Ополчения,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Хорошево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-Мневники»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ул. Туристская, 19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«Южное Тушино»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Чертановская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, 21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«Чертаново Центральное»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САО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Долгопрудная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, 13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«Дмитровский»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Ивантеевская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, 4/1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ЗАО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авто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Можайское шоссе, 20, корп. 2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«Можайский»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гор.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Шипиловская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, 64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Зябликово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9A2B7D" w:rsidRPr="009A2B7D" w:rsidTr="0050321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ЮАО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пром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 xml:space="preserve">ул.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Братеевская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, 27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р-н «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Братеево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</w:tbl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2B7D" w:rsidRPr="009A2B7D" w:rsidRDefault="009A2B7D" w:rsidP="009A2B7D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</w:r>
      <w:r w:rsidRPr="009A2B7D">
        <w:rPr>
          <w:rFonts w:ascii="Times New Roman" w:eastAsia="Calibri" w:hAnsi="Times New Roman" w:cs="Times New Roman"/>
          <w:sz w:val="24"/>
          <w:szCs w:val="24"/>
        </w:rPr>
        <w:tab/>
        <w:t>Приложение 2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Перечень пунктов наблюдений за загрязнением воды водных объектов, расположенных          на территории г. Москвы и Московской области, 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 xml:space="preserve">и карта-схема пунктов государственного мониторинга поверхностных вод 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A2B7D">
        <w:rPr>
          <w:rFonts w:ascii="Times New Roman" w:eastAsia="Calibri" w:hAnsi="Times New Roman" w:cs="Times New Roman"/>
          <w:sz w:val="24"/>
          <w:szCs w:val="24"/>
        </w:rPr>
        <w:t>Московского региона</w:t>
      </w:r>
    </w:p>
    <w:p w:rsidR="009A2B7D" w:rsidRPr="009A2B7D" w:rsidRDefault="009A2B7D" w:rsidP="009A2B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3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717"/>
        <w:gridCol w:w="3284"/>
        <w:gridCol w:w="1962"/>
        <w:gridCol w:w="1277"/>
        <w:gridCol w:w="2374"/>
      </w:tblGrid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кар-те</w:t>
            </w:r>
            <w:proofErr w:type="gram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схе-ме</w:t>
            </w:r>
            <w:proofErr w:type="spellEnd"/>
            <w:proofErr w:type="gramEnd"/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ВОДОЕМА ИЛИ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ВОДОТОКА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НАИМЕНОВА-НИЕ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ПУНКТА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НАБЛЮДЕНИЙ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  <w:t xml:space="preserve">Створ 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aps/>
                <w:color w:val="000000"/>
                <w:sz w:val="24"/>
                <w:szCs w:val="24"/>
              </w:rPr>
              <w:t>наблю-дений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РАЙОН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МОСКОВСКОЙ</w:t>
            </w:r>
          </w:p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Иваньковское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Дубна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0,6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вос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-точнее) плотины Иваньков-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ской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ГЭС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Дубна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Лама (впадает в Иваньков-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ское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водохранилище)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Егорье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0,6 км 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с. Егорье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Лотошинский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Дубна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Волга)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Вербилки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Вер-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билки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Талдомский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Вербилки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Вер-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билки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Талдомский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Кунья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Краснозаводск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4,1 км 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Красно-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заводск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Сергиево-Посадский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Кунья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Краснозаводск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1,1 км 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Красно-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заводск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Сергиево-Посадский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Сестра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Дубна)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Трехсвятское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0,5 км 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Трех-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святское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Дмитровский</w:t>
            </w:r>
          </w:p>
        </w:tc>
      </w:tr>
      <w:tr w:rsidR="009A2B7D" w:rsidRPr="009A2B7D" w:rsidTr="00503213">
        <w:trPr>
          <w:trHeight w:val="595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 (приток р. Волга)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           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Сер-пухов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г. Кашира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Каширский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Кашира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Каширский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Колом-на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Колом-на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Коломенский</w:t>
            </w:r>
          </w:p>
        </w:tc>
      </w:tr>
      <w:tr w:rsidR="009A2B7D" w:rsidRPr="009A2B7D" w:rsidTr="00503213">
        <w:trPr>
          <w:trHeight w:val="545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Протва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Протва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Верея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 (приток 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Фоминск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Наро-Фоминск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Наро-Фоминский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Нара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Серпухов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ниже г. Серпухов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Серпуховской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Лопасня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выше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    г. Чехов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Чеховский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Лопасня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Чехов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Чеховский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Осётр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Городна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Горо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-дна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Луховицкий</w:t>
            </w:r>
          </w:p>
        </w:tc>
      </w:tr>
      <w:tr w:rsidR="009A2B7D" w:rsidRPr="009A2B7D" w:rsidTr="00503213">
        <w:trPr>
          <w:trHeight w:val="588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Москва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Барсуки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0,5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Бар-суки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Можайский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водохранилище Можайское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Красновидово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Крас-новидово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Можайский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Звенигород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0,3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Зве-нигород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Звенигород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Звенигород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1,4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Зве-нигород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Звенигород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пос.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Москва, 0,5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водо-забора Рублев-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ской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допровод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-ной стан-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ции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, 0,1 км ниже п. Ильин-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Красногорский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Мос-ква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; 0,3 км ниже Бабьего-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родской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плотины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районе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Беседин-ского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моста МКАД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0,1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Н. Мячково; 1,5 км 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места впадения    р. Пахра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11,1 км ниже д. Н.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Мячко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-во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1,0 км ниже места впадения 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Пехор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-ка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Воскресенск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Вос-кресенск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Воскресенск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1,0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Вос-кресенск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Коломна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Колом-на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; 0,1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Коломна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Рузское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Солодово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Соло-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Волоколамский</w:t>
            </w:r>
          </w:p>
        </w:tc>
      </w:tr>
      <w:tr w:rsidR="009A2B7D" w:rsidRPr="009A2B7D" w:rsidTr="00503213">
        <w:trPr>
          <w:trHeight w:val="537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Озернинское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Нововолково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Ново-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волково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Рузский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водохранилище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Истринское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Пятница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Пятни-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ца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Солнечногорский</w:t>
            </w:r>
            <w:proofErr w:type="spellEnd"/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Истра (приток реки Москвы)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Павловская Слобода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0,4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 Пав-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ловская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Слобода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Истринский</w:t>
            </w:r>
            <w:proofErr w:type="spellEnd"/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Медвенка (приток </w:t>
            </w:r>
            <w:proofErr w:type="gramEnd"/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Большое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Сареево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1,9 км </w:t>
            </w:r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ни-же</w:t>
            </w:r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Б. </w:t>
            </w:r>
            <w:proofErr w:type="spell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Сареево</w:t>
            </w:r>
            <w:proofErr w:type="spell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0,03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Одинцовский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Закза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Медвенка)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д. Большое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Сареево</w:t>
            </w:r>
            <w:proofErr w:type="spell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Боль-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шое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Саре-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ево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; 0,3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Одинцовский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Яуза (приток 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Мос-ква</w:t>
            </w:r>
            <w:proofErr w:type="spellEnd"/>
            <w:proofErr w:type="gramEnd"/>
            <w:r w:rsidRPr="009A2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0,1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Пахра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выше г. Подольск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По-дольск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ниже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мес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-та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впаде-ния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руч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. Черный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Подольск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По-дольск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ниже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мес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-та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впаде-ния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Битца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Подольский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Нижнее Мячково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д. Нижнее Мячково; 0,01 км выше 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Раменский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Рожая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Пахра)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Домодедово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Домо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-дедово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Домодедово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Москва)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Куровское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0,2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вы-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ше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Ку-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ровское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Куровское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1,4 км </w:t>
            </w:r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ни-же</w:t>
            </w:r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Ку-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ровское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Зуевский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Нерская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Маришкино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черте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Ма-ришкино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0,1 км выше </w:t>
            </w: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устья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Воскресенский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Ока)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Щёлко</w:t>
            </w:r>
            <w:proofErr w:type="spellEnd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-во</w:t>
            </w:r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Щёлковский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Щёлково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г. Лоси-но-Пет-</w:t>
            </w:r>
            <w:proofErr w:type="spellStart"/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>ровский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Городской округ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Лосино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-Петровский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Павловский Посад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Павлово-Посадский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Павловский Посад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Посад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Павлово-Посадский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Орехово-Зуево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хово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Зуево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Орехово-Зуево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хово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Зуево</w:t>
            </w:r>
            <w:proofErr w:type="spell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Орехово-Зуевский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Воря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Клязьма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Красноар-мейск</w:t>
            </w:r>
            <w:proofErr w:type="spellEnd"/>
            <w:proofErr w:type="gram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армейск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Красноармейск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Воря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Красноар-мейск</w:t>
            </w:r>
            <w:proofErr w:type="spellEnd"/>
            <w:proofErr w:type="gramEnd"/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Красно-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армейск</w:t>
            </w:r>
            <w:proofErr w:type="spellEnd"/>
            <w:proofErr w:type="gramEnd"/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Красноармейск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Воймега</w:t>
            </w:r>
            <w:proofErr w:type="spellEnd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(приток </w:t>
            </w:r>
            <w:proofErr w:type="gramEnd"/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р. Поля)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Рошаль</w:t>
            </w:r>
          </w:p>
        </w:tc>
      </w:tr>
      <w:tr w:rsidR="009A2B7D" w:rsidRPr="009A2B7D" w:rsidTr="00503213">
        <w:trPr>
          <w:trHeight w:val="300"/>
        </w:trPr>
        <w:tc>
          <w:tcPr>
            <w:tcW w:w="3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Воймега</w:t>
            </w:r>
            <w:proofErr w:type="spellEnd"/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Рошаль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7D" w:rsidRPr="009A2B7D" w:rsidRDefault="009A2B7D" w:rsidP="009A2B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ниже </w:t>
            </w:r>
          </w:p>
          <w:p w:rsidR="009A2B7D" w:rsidRPr="009A2B7D" w:rsidRDefault="009A2B7D" w:rsidP="009A2B7D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Рошаль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2B7D" w:rsidRPr="009A2B7D" w:rsidRDefault="009A2B7D" w:rsidP="009A2B7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A2B7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Городской округ Рошаль</w:t>
            </w:r>
          </w:p>
        </w:tc>
      </w:tr>
    </w:tbl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Times New Roman" w:eastAsia="Calibri" w:hAnsi="Times New Roman" w:cs="Times New Roman"/>
          <w:sz w:val="24"/>
          <w:szCs w:val="24"/>
        </w:rPr>
      </w:pPr>
    </w:p>
    <w:p w:rsidR="009A2B7D" w:rsidRPr="009A2B7D" w:rsidRDefault="009A2B7D" w:rsidP="009A2B7D">
      <w:pPr>
        <w:rPr>
          <w:rFonts w:ascii="Calibri" w:eastAsia="Calibri" w:hAnsi="Calibri" w:cs="Times New Roman"/>
        </w:rPr>
      </w:pPr>
      <w:r w:rsidRPr="009A2B7D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FB6B2DC" wp14:editId="6EF85F96">
            <wp:extent cx="5947410" cy="4683125"/>
            <wp:effectExtent l="0" t="0" r="0" b="3175"/>
            <wp:docPr id="3" name="Рисунок 3" descr="Пункты наблюдения ГСН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ункты наблюдения ГСН (1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468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B7D" w:rsidRPr="009A2B7D" w:rsidRDefault="009A2B7D" w:rsidP="009A2B7D"/>
    <w:p w:rsidR="00045E80" w:rsidRDefault="00045E80"/>
    <w:sectPr w:rsidR="00045E80" w:rsidSect="00CE3A9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05F" w:rsidRDefault="0013705F" w:rsidP="009A2B7D">
      <w:pPr>
        <w:spacing w:after="0" w:line="240" w:lineRule="auto"/>
      </w:pPr>
      <w:r>
        <w:separator/>
      </w:r>
    </w:p>
  </w:endnote>
  <w:endnote w:type="continuationSeparator" w:id="0">
    <w:p w:rsidR="0013705F" w:rsidRDefault="0013705F" w:rsidP="009A2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9D" w:rsidRDefault="0013705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9D" w:rsidRDefault="0013705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9D" w:rsidRDefault="0013705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05F" w:rsidRDefault="0013705F" w:rsidP="009A2B7D">
      <w:pPr>
        <w:spacing w:after="0" w:line="240" w:lineRule="auto"/>
      </w:pPr>
      <w:r>
        <w:separator/>
      </w:r>
    </w:p>
  </w:footnote>
  <w:footnote w:type="continuationSeparator" w:id="0">
    <w:p w:rsidR="0013705F" w:rsidRDefault="0013705F" w:rsidP="009A2B7D">
      <w:pPr>
        <w:spacing w:after="0" w:line="240" w:lineRule="auto"/>
      </w:pPr>
      <w:r>
        <w:continuationSeparator/>
      </w:r>
    </w:p>
  </w:footnote>
  <w:footnote w:id="1">
    <w:p w:rsidR="009A2B7D" w:rsidRDefault="009A2B7D" w:rsidP="009A2B7D">
      <w:pPr>
        <w:pStyle w:val="3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a"/>
        </w:rPr>
        <w:footnoteRef/>
      </w:r>
      <w: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Уровень загрязнения воздуха оценивается при сравнении  концентраций загрязняющих веществ             (в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, мкг/м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) с ПДК.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– предельно допустимая максимальная разовая концентрация загрязняющего вещества              в воздухе населенных мест, в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;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ПДКс.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с</w:t>
      </w:r>
      <w:proofErr w:type="spellEnd"/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. – предельно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допустимая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среднесуточная концентрация загрязняющего вещества в воздухе населенных мест, мг/м</w:t>
      </w:r>
      <w:r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Для оценки уровня загрязнения атмосферного воздуха за месяц используются два показателя: 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- стандартный индекс СИ – наибольшая, измеренная за короткий период времени, концентрация загрязняющего вещества, деленная на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.;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- наибольшая повторяемость превышения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ПДКм.р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>. – НП,%.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Уровень загрязнения воздуха  оценивается по 4 категориям значения СИ и НП: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низкий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=  0 - 1, НП = 0%;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повышенный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=2-4, НП = 1-19%;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высокий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СИ=5-10, НП=20-50%;</w:t>
      </w:r>
    </w:p>
    <w:p w:rsidR="009A2B7D" w:rsidRDefault="009A2B7D" w:rsidP="009A2B7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• очень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высокий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при СИ &gt;10, НП &gt;50%.</w:t>
      </w:r>
    </w:p>
    <w:p w:rsidR="009A2B7D" w:rsidRDefault="009A2B7D" w:rsidP="009A2B7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Если СИ и НП попадают в разные градации, то уровень загрязнения оценивается по наибольшему значению из этих показателей.</w:t>
      </w:r>
    </w:p>
    <w:p w:rsidR="009A2B7D" w:rsidRDefault="009A2B7D" w:rsidP="009A2B7D">
      <w:pPr>
        <w:pStyle w:val="a3"/>
        <w:rPr>
          <w:rFonts w:ascii="Times New Roman" w:hAnsi="Times New Roman"/>
        </w:rPr>
      </w:pPr>
    </w:p>
  </w:footnote>
  <w:footnote w:id="2">
    <w:p w:rsidR="009A2B7D" w:rsidRDefault="009A2B7D" w:rsidP="009A2B7D">
      <w:pPr>
        <w:pStyle w:val="a3"/>
        <w:jc w:val="both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/>
        </w:rPr>
        <w:t xml:space="preserve">Показатели загрязнения воды водных объектов приводятся в ПДК для воды водных объектов </w:t>
      </w:r>
      <w:proofErr w:type="spellStart"/>
      <w:r>
        <w:rPr>
          <w:rFonts w:ascii="Times New Roman" w:hAnsi="Times New Roman"/>
        </w:rPr>
        <w:t>рыбохозяйственного</w:t>
      </w:r>
      <w:proofErr w:type="spellEnd"/>
      <w:r>
        <w:rPr>
          <w:rFonts w:ascii="Times New Roman" w:hAnsi="Times New Roman"/>
        </w:rPr>
        <w:t xml:space="preserve"> значения</w:t>
      </w:r>
    </w:p>
  </w:footnote>
  <w:footnote w:id="3">
    <w:p w:rsidR="009A2B7D" w:rsidRDefault="009A2B7D" w:rsidP="009A2B7D">
      <w:pPr>
        <w:pStyle w:val="a3"/>
        <w:jc w:val="both"/>
      </w:pPr>
      <w:r>
        <w:rPr>
          <w:rStyle w:val="aa"/>
        </w:rPr>
        <w:footnoteRef/>
      </w:r>
      <w:r>
        <w:t xml:space="preserve"> </w:t>
      </w:r>
      <w:r w:rsidRPr="00A4150E">
        <w:rPr>
          <w:rFonts w:ascii="Times New Roman" w:hAnsi="Times New Roman"/>
        </w:rPr>
        <w:t>Значение норматива ПДК для фенолов определено в соответствии с СанПиН 1.2.3685-21</w:t>
      </w:r>
      <w:r w:rsidRPr="00A4150E">
        <w:t xml:space="preserve">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9D" w:rsidRDefault="0013705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4208160"/>
      <w:docPartObj>
        <w:docPartGallery w:val="Page Numbers (Top of Page)"/>
        <w:docPartUnique/>
      </w:docPartObj>
    </w:sdtPr>
    <w:sdtEndPr/>
    <w:sdtContent>
      <w:p w:rsidR="00CE3A9D" w:rsidRDefault="001370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096">
          <w:rPr>
            <w:noProof/>
          </w:rPr>
          <w:t>8</w:t>
        </w:r>
        <w:r>
          <w:fldChar w:fldCharType="end"/>
        </w:r>
      </w:p>
    </w:sdtContent>
  </w:sdt>
  <w:p w:rsidR="00CE3A9D" w:rsidRDefault="0013705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A9D" w:rsidRDefault="0013705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388"/>
    <w:rsid w:val="00045E80"/>
    <w:rsid w:val="0013705F"/>
    <w:rsid w:val="006C3096"/>
    <w:rsid w:val="009A2B7D"/>
    <w:rsid w:val="00D1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2B7D"/>
  </w:style>
  <w:style w:type="paragraph" w:styleId="a3">
    <w:name w:val="footnote text"/>
    <w:basedOn w:val="a"/>
    <w:link w:val="a4"/>
    <w:uiPriority w:val="99"/>
    <w:semiHidden/>
    <w:unhideWhenUsed/>
    <w:rsid w:val="009A2B7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A2B7D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9A2B7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A2B7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A2B7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9A2B7D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9A2B7D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A2B7D"/>
    <w:rPr>
      <w:rFonts w:ascii="Calibri" w:eastAsia="Calibri" w:hAnsi="Calibri" w:cs="Times New Roman"/>
      <w:sz w:val="16"/>
      <w:szCs w:val="16"/>
    </w:rPr>
  </w:style>
  <w:style w:type="paragraph" w:customStyle="1" w:styleId="a9">
    <w:name w:val="Знак"/>
    <w:basedOn w:val="a"/>
    <w:rsid w:val="009A2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9A2B7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A2B7D"/>
  </w:style>
  <w:style w:type="paragraph" w:styleId="a3">
    <w:name w:val="footnote text"/>
    <w:basedOn w:val="a"/>
    <w:link w:val="a4"/>
    <w:uiPriority w:val="99"/>
    <w:semiHidden/>
    <w:unhideWhenUsed/>
    <w:rsid w:val="009A2B7D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A2B7D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9A2B7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9A2B7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9A2B7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9A2B7D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9A2B7D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A2B7D"/>
    <w:rPr>
      <w:rFonts w:ascii="Calibri" w:eastAsia="Calibri" w:hAnsi="Calibri" w:cs="Times New Roman"/>
      <w:sz w:val="16"/>
      <w:szCs w:val="16"/>
    </w:rPr>
  </w:style>
  <w:style w:type="paragraph" w:customStyle="1" w:styleId="a9">
    <w:name w:val="Знак"/>
    <w:basedOn w:val="a"/>
    <w:rsid w:val="009A2B7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a">
    <w:name w:val="footnote reference"/>
    <w:basedOn w:val="a0"/>
    <w:uiPriority w:val="99"/>
    <w:semiHidden/>
    <w:unhideWhenUsed/>
    <w:rsid w:val="009A2B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ownloads\&#1075;&#1080;&#1084;&#1077;&#1090;%2008.25%20&#1054;&#1048;&#1052;.xlsx" TargetMode="External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Лист2!$D$23:$D$24</c:f>
              <c:strCache>
                <c:ptCount val="2"/>
                <c:pt idx="0">
                  <c:v>концентрация, ПДК</c:v>
                </c:pt>
                <c:pt idx="1">
                  <c:v>Медь</c:v>
                </c:pt>
              </c:strCache>
            </c:strRef>
          </c:tx>
          <c:spPr>
            <a:blipFill dpi="0" rotWithShape="1">
              <a:blip xmlns:r="http://schemas.openxmlformats.org/officeDocument/2006/relationships" r:embed="rId2">
                <a:extLst>
                  <a:ext uri="{28A0092B-C50C-407E-A947-70E740481C1C}">
                    <a14:useLocalDpi xmlns:a14="http://schemas.microsoft.com/office/drawing/2010/main" val="0"/>
                  </a:ext>
                </a:extLst>
              </a:blip>
              <a:srcRect/>
              <a:stretch>
                <a:fillRect/>
              </a:stretch>
            </a:blipFill>
          </c:spPr>
          <c:invertIfNegative val="0"/>
          <c:cat>
            <c:strRef>
              <c:f>Лист2!$C$25:$C$27</c:f>
              <c:strCache>
                <c:ptCount val="3"/>
                <c:pt idx="0">
                  <c:v>п. Ильинское</c:v>
                </c:pt>
                <c:pt idx="1">
                  <c:v>Бабьегородская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Лист2!$D$25:$D$27</c:f>
              <c:numCache>
                <c:formatCode>General</c:formatCode>
                <c:ptCount val="3"/>
                <c:pt idx="0">
                  <c:v>0.8</c:v>
                </c:pt>
                <c:pt idx="1">
                  <c:v>2.1</c:v>
                </c:pt>
                <c:pt idx="2">
                  <c:v>1.9</c:v>
                </c:pt>
              </c:numCache>
            </c:numRef>
          </c:val>
          <c:shape val="pyramid"/>
          <c:extLst xmlns:c16r2="http://schemas.microsoft.com/office/drawing/2015/06/chart">
            <c:ext xmlns:c16="http://schemas.microsoft.com/office/drawing/2014/chart" uri="{C3380CC4-5D6E-409C-BE32-E72D297353CC}">
              <c16:uniqueId val="{00000000-B00D-4C6D-B508-C525330FD4FF}"/>
            </c:ext>
          </c:extLst>
        </c:ser>
        <c:ser>
          <c:idx val="1"/>
          <c:order val="1"/>
          <c:tx>
            <c:strRef>
              <c:f>Лист2!$E$23:$E$24</c:f>
              <c:strCache>
                <c:ptCount val="2"/>
                <c:pt idx="0">
                  <c:v>концентрация, ПДК</c:v>
                </c:pt>
                <c:pt idx="1">
                  <c:v>Фенолы</c:v>
                </c:pt>
              </c:strCache>
            </c:strRef>
          </c:tx>
          <c:invertIfNegative val="0"/>
          <c:cat>
            <c:strRef>
              <c:f>Лист2!$C$25:$C$27</c:f>
              <c:strCache>
                <c:ptCount val="3"/>
                <c:pt idx="0">
                  <c:v>п. Ильинское</c:v>
                </c:pt>
                <c:pt idx="1">
                  <c:v>Бабьегородская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Лист2!$E$25:$E$27</c:f>
              <c:numCache>
                <c:formatCode>General</c:formatCode>
                <c:ptCount val="3"/>
                <c:pt idx="0">
                  <c:v>0.2</c:v>
                </c:pt>
                <c:pt idx="1">
                  <c:v>0.3</c:v>
                </c:pt>
                <c:pt idx="2">
                  <c:v>0.3</c:v>
                </c:pt>
              </c:numCache>
            </c:numRef>
          </c:val>
          <c:shape val="pyramid"/>
          <c:extLst xmlns:c16r2="http://schemas.microsoft.com/office/drawing/2015/06/chart">
            <c:ext xmlns:c16="http://schemas.microsoft.com/office/drawing/2014/chart" uri="{C3380CC4-5D6E-409C-BE32-E72D297353CC}">
              <c16:uniqueId val="{00000001-B00D-4C6D-B508-C525330FD4FF}"/>
            </c:ext>
          </c:extLst>
        </c:ser>
        <c:ser>
          <c:idx val="2"/>
          <c:order val="2"/>
          <c:tx>
            <c:strRef>
              <c:f>Лист2!$F$23:$F$24</c:f>
              <c:strCache>
                <c:ptCount val="2"/>
                <c:pt idx="0">
                  <c:v>концентрация, ПДК</c:v>
                </c:pt>
                <c:pt idx="1">
                  <c:v>Нефтепродукты</c:v>
                </c:pt>
              </c:strCache>
            </c:strRef>
          </c:tx>
          <c:spPr>
            <a:pattFill prst="lgCheck">
              <a:fgClr>
                <a:schemeClr val="accent2">
                  <a:lumMod val="75000"/>
                </a:schemeClr>
              </a:fgClr>
              <a:bgClr>
                <a:schemeClr val="bg1"/>
              </a:bgClr>
            </a:pattFill>
            <a:effectLst>
              <a:outerShdw blurRad="50800" dist="50800" dir="5400000" algn="ctr" rotWithShape="0">
                <a:schemeClr val="accent2">
                  <a:lumMod val="75000"/>
                </a:schemeClr>
              </a:outerShdw>
            </a:effectLst>
          </c:spPr>
          <c:invertIfNegative val="0"/>
          <c:cat>
            <c:strRef>
              <c:f>Лист2!$C$25:$C$27</c:f>
              <c:strCache>
                <c:ptCount val="3"/>
                <c:pt idx="0">
                  <c:v>п. Ильинское</c:v>
                </c:pt>
                <c:pt idx="1">
                  <c:v>Бабьегородская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Лист2!$F$25:$F$27</c:f>
              <c:numCache>
                <c:formatCode>General</c:formatCode>
                <c:ptCount val="3"/>
                <c:pt idx="0">
                  <c:v>0.4</c:v>
                </c:pt>
                <c:pt idx="1">
                  <c:v>0.8</c:v>
                </c:pt>
                <c:pt idx="2">
                  <c:v>1.4</c:v>
                </c:pt>
              </c:numCache>
            </c:numRef>
          </c:val>
          <c:shape val="pyramid"/>
          <c:extLst xmlns:c16r2="http://schemas.microsoft.com/office/drawing/2015/06/chart">
            <c:ext xmlns:c16="http://schemas.microsoft.com/office/drawing/2014/chart" uri="{C3380CC4-5D6E-409C-BE32-E72D297353CC}">
              <c16:uniqueId val="{00000002-B00D-4C6D-B508-C525330FD4FF}"/>
            </c:ext>
          </c:extLst>
        </c:ser>
        <c:ser>
          <c:idx val="3"/>
          <c:order val="3"/>
          <c:tx>
            <c:strRef>
              <c:f>Лист2!$G$23:$G$24</c:f>
              <c:strCache>
                <c:ptCount val="2"/>
                <c:pt idx="0">
                  <c:v>концентрация, ПДК</c:v>
                </c:pt>
                <c:pt idx="1">
                  <c:v>БПК5</c:v>
                </c:pt>
              </c:strCache>
            </c:strRef>
          </c:tx>
          <c:spPr>
            <a:solidFill>
              <a:schemeClr val="accent2"/>
            </a:solidFill>
          </c:spPr>
          <c:invertIfNegative val="0"/>
          <c:dPt>
            <c:idx val="2"/>
            <c:invertIfNegative val="0"/>
            <c:bubble3D val="0"/>
            <c:spPr>
              <a:gradFill flip="none" rotWithShape="1">
                <a:gsLst>
                  <a:gs pos="0">
                    <a:schemeClr val="accent2">
                      <a:tint val="66000"/>
                      <a:satMod val="160000"/>
                    </a:schemeClr>
                  </a:gs>
                  <a:gs pos="50000">
                    <a:schemeClr val="accent2">
                      <a:tint val="44500"/>
                      <a:satMod val="160000"/>
                    </a:schemeClr>
                  </a:gs>
                  <a:gs pos="100000">
                    <a:schemeClr val="accent2">
                      <a:tint val="23500"/>
                      <a:satMod val="160000"/>
                    </a:schemeClr>
                  </a:gs>
                </a:gsLst>
                <a:lin ang="8100000" scaled="1"/>
                <a:tileRect/>
              </a:gra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0D-4C6D-B508-C525330FD4FF}"/>
              </c:ext>
            </c:extLst>
          </c:dPt>
          <c:cat>
            <c:strRef>
              <c:f>Лист2!$C$25:$C$27</c:f>
              <c:strCache>
                <c:ptCount val="3"/>
                <c:pt idx="0">
                  <c:v>п. Ильинское</c:v>
                </c:pt>
                <c:pt idx="1">
                  <c:v>Бабьегородская пл.</c:v>
                </c:pt>
                <c:pt idx="2">
                  <c:v>Бесединский мост МКАД</c:v>
                </c:pt>
              </c:strCache>
            </c:strRef>
          </c:cat>
          <c:val>
            <c:numRef>
              <c:f>Лист2!$G$25:$G$27</c:f>
              <c:numCache>
                <c:formatCode>General</c:formatCode>
                <c:ptCount val="3"/>
                <c:pt idx="0">
                  <c:v>0.7</c:v>
                </c:pt>
                <c:pt idx="1">
                  <c:v>1.2</c:v>
                </c:pt>
                <c:pt idx="2">
                  <c:v>2.7</c:v>
                </c:pt>
              </c:numCache>
            </c:numRef>
          </c:val>
          <c:shape val="pyramid"/>
          <c:extLst xmlns:c16r2="http://schemas.microsoft.com/office/drawing/2015/06/chart">
            <c:ext xmlns:c16="http://schemas.microsoft.com/office/drawing/2014/chart" uri="{C3380CC4-5D6E-409C-BE32-E72D297353CC}">
              <c16:uniqueId val="{00000005-B00D-4C6D-B508-C525330FD4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1936768"/>
        <c:axId val="61944576"/>
        <c:axId val="0"/>
      </c:bar3DChart>
      <c:catAx>
        <c:axId val="619367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61944576"/>
        <c:crosses val="autoZero"/>
        <c:auto val="1"/>
        <c:lblAlgn val="ctr"/>
        <c:lblOffset val="100"/>
        <c:noMultiLvlLbl val="0"/>
      </c:catAx>
      <c:valAx>
        <c:axId val="61944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1936768"/>
        <c:crosses val="autoZero"/>
        <c:crossBetween val="between"/>
      </c:valAx>
    </c:plotArea>
    <c:legend>
      <c:legendPos val="r"/>
      <c:overlay val="0"/>
      <c:spPr>
        <a:solidFill>
          <a:schemeClr val="accent1">
            <a:lumMod val="20000"/>
            <a:lumOff val="80000"/>
          </a:schemeClr>
        </a:solidFill>
      </c:spPr>
    </c:legend>
    <c:plotVisOnly val="1"/>
    <c:dispBlanksAs val="gap"/>
    <c:showDLblsOverMax val="0"/>
  </c:chart>
  <c:externalData r:id="rId3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3300</Words>
  <Characters>18816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Дмитревская Елена Семеновна</dc:creator>
  <cp:lastModifiedBy>Дмитревская Елена Семеновна</cp:lastModifiedBy>
  <cp:revision>2</cp:revision>
  <dcterms:created xsi:type="dcterms:W3CDTF">2026-09-14T14:22:00Z</dcterms:created>
  <dcterms:modified xsi:type="dcterms:W3CDTF">2026-09-14T14:22:00Z</dcterms:modified>
</cp:coreProperties>
</file>